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108</w:t>
      </w:r>
      <w:r>
        <w:rPr>
          <w:rFonts w:cs="Times New Roman" w:ascii="Times New Roman" w:hAnsi="Times New Roman"/>
          <w:sz w:val="24"/>
          <w:szCs w:val="24"/>
        </w:rPr>
        <w:t xml:space="preserve"> от «2</w:t>
      </w:r>
      <w:r>
        <w:rPr>
          <w:rFonts w:cs="Times New Roman" w:ascii="Times New Roman" w:hAnsi="Times New Roman"/>
          <w:sz w:val="24"/>
          <w:szCs w:val="24"/>
        </w:rPr>
        <w:t>5</w:t>
      </w:r>
      <w:r>
        <w:rPr>
          <w:rFonts w:cs="Times New Roman" w:ascii="Times New Roman" w:hAnsi="Times New Roman"/>
          <w:sz w:val="24"/>
          <w:szCs w:val="24"/>
        </w:rPr>
        <w:t xml:space="preserve">» </w:t>
      </w:r>
      <w:r>
        <w:rPr>
          <w:rFonts w:cs="Times New Roman" w:ascii="Times New Roman" w:hAnsi="Times New Roman"/>
          <w:sz w:val="24"/>
          <w:szCs w:val="24"/>
        </w:rPr>
        <w:t>августа</w:t>
      </w:r>
      <w:r>
        <w:rPr>
          <w:rFonts w:cs="Times New Roman" w:ascii="Times New Roman" w:hAnsi="Times New Roman"/>
          <w:sz w:val="24"/>
          <w:szCs w:val="24"/>
        </w:rPr>
        <w:t xml:space="preserve">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ДОКУМЕНТАЦИЯ О ПРОВЕДЕНИИ </w:t>
        <w:br/>
        <w:t>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ПО.д.26.</w:t>
      </w:r>
      <w:r>
        <w:rPr>
          <w:rFonts w:eastAsia="Times New Roman" w:cs="Times New Roman" w:ascii="Times New Roman" w:hAnsi="Times New Roman"/>
          <w:b/>
          <w:sz w:val="28"/>
          <w:szCs w:val="28"/>
          <w:lang w:eastAsia="ru-RU"/>
        </w:rPr>
        <w:t>3</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spacing w:before="0" w:after="160"/>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и (или) выполнению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выявленными объектами культурного наследия, в том числе на ремонт (замену, модернизацию) лифтов.</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 xml:space="preserve">1. Документация разработана в соответствии с </w:t>
      </w:r>
      <w:r>
        <w:rPr>
          <w:rFonts w:cs="Times New Roman" w:ascii="Times New Roman" w:hAnsi="Times New Roman"/>
          <w:i/>
          <w:color w:themeColor="text1" w:val="000000"/>
          <w:sz w:val="28"/>
          <w:szCs w:val="28"/>
        </w:rPr>
        <w:t xml:space="preserve">Положением о </w:t>
      </w:r>
      <w:r>
        <w:rPr>
          <w:rFonts w:cs="Times New Roman" w:ascii="Times New Roman" w:hAnsi="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ListParagraph"/>
        <w:numPr>
          <w:ilvl w:val="0"/>
          <w:numId w:val="12"/>
        </w:numPr>
        <w:tabs>
          <w:tab w:val="clear" w:pos="708"/>
          <w:tab w:val="left" w:pos="284" w:leader="none"/>
        </w:tabs>
        <w:spacing w:lineRule="auto" w:line="240" w:before="0" w:after="0"/>
        <w:ind w:hanging="0" w:left="0"/>
        <w:contextualSpacing/>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ПО.д.26.</w:t>
      </w:r>
      <w:r>
        <w:rPr>
          <w:rFonts w:ascii="Times New Roman" w:hAnsi="Times New Roman"/>
          <w:b/>
          <w:bCs/>
          <w:sz w:val="28"/>
          <w:szCs w:val="28"/>
        </w:rPr>
        <w:t>3</w:t>
      </w:r>
    </w:p>
    <w:p>
      <w:pPr>
        <w:pStyle w:val="Normal"/>
        <w:tabs>
          <w:tab w:val="clear" w:pos="708"/>
          <w:tab w:val="left" w:pos="3060" w:leader="none"/>
        </w:tabs>
        <w:spacing w:lineRule="auto" w:line="240" w:before="0" w:after="0"/>
        <w:ind w:right="2"/>
        <w:jc w:val="both"/>
        <w:rPr>
          <w:rFonts w:ascii="Times New Roman" w:hAnsi="Times New Roman" w:cs="Times New Roman"/>
          <w:i/>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cs="Times New Roman" w:ascii="Times New Roman" w:hAnsi="Times New Roman"/>
          <w:i/>
          <w:sz w:val="24"/>
          <w:szCs w:val="24"/>
          <w:u w:val="single"/>
        </w:rPr>
        <w:t>Оказание услуг и (или) выполнение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 xml:space="preserve">: </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r>
        <w:rPr>
          <w:rFonts w:cs="Times New Roman" w:ascii="Times New Roman" w:hAnsi="Times New Roman"/>
          <w:b/>
          <w:bCs/>
          <w:sz w:val="24"/>
          <w:szCs w:val="24"/>
          <w:u w:val="single"/>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cs="Times New Roman" w:ascii="Times New Roman" w:hAnsi="Times New Roman"/>
          <w:bCs/>
          <w:sz w:val="24"/>
          <w:u w:val="single"/>
          <w:lang w:val="en-US"/>
        </w:rPr>
        <w:t>dgkh</w:t>
      </w:r>
      <w:r>
        <w:rPr>
          <w:rFonts w:cs="Times New Roman" w:ascii="Times New Roman" w:hAnsi="Times New Roman"/>
          <w:bCs/>
          <w:sz w:val="24"/>
          <w:u w:val="single"/>
        </w:rPr>
        <w:t>@</w:t>
      </w:r>
      <w:r>
        <w:rPr>
          <w:rFonts w:cs="Times New Roman" w:ascii="Times New Roman" w:hAnsi="Times New Roman"/>
          <w:bCs/>
          <w:sz w:val="24"/>
          <w:u w:val="single"/>
          <w:lang w:val="en-US"/>
        </w:rPr>
        <w:t>ivreg</w:t>
      </w:r>
      <w:r>
        <w:rPr>
          <w:rFonts w:cs="Times New Roman" w:ascii="Times New Roman" w:hAnsi="Times New Roman"/>
          <w:bCs/>
          <w:sz w:val="24"/>
          <w:u w:val="single"/>
        </w:rPr>
        <w:t>.</w:t>
      </w:r>
      <w:r>
        <w:rPr>
          <w:rFonts w:cs="Times New Roman" w:ascii="Times New Roman" w:hAnsi="Times New Roman"/>
          <w:bCs/>
          <w:sz w:val="24"/>
          <w:u w:val="single"/>
          <w:lang w:val="en-US"/>
        </w:rPr>
        <w:t>ru</w:t>
      </w:r>
      <w:r>
        <w:rPr>
          <w:rFonts w:eastAsia="Times New Roman" w:cs="Times New Roman" w:ascii="Times New Roman" w:hAnsi="Times New Roman"/>
          <w:b/>
          <w:sz w:val="24"/>
          <w:szCs w:val="24"/>
          <w:lang w:eastAsia="ru-RU"/>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отборе (далее – Заявка):</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6</w:t>
      </w:r>
      <w:r>
        <w:rPr>
          <w:rFonts w:ascii="Times New Roman" w:hAnsi="Times New Roman"/>
          <w:bCs/>
          <w:sz w:val="24"/>
        </w:rPr>
        <w:t xml:space="preserve">» </w:t>
      </w:r>
      <w:r>
        <w:rPr>
          <w:rFonts w:ascii="Times New Roman" w:hAnsi="Times New Roman"/>
          <w:bCs/>
          <w:sz w:val="24"/>
        </w:rPr>
        <w:t>августа</w:t>
      </w:r>
      <w:r>
        <w:rPr>
          <w:rFonts w:ascii="Times New Roman" w:hAnsi="Times New Roman"/>
          <w:bCs/>
          <w:sz w:val="24"/>
        </w:rPr>
        <w:t xml:space="preserve">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 xml:space="preserve">«15» </w:t>
      </w:r>
      <w:r>
        <w:rPr>
          <w:rFonts w:ascii="Times New Roman" w:hAnsi="Times New Roman"/>
          <w:bCs/>
          <w:sz w:val="24"/>
        </w:rPr>
        <w:t>сентября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сентября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ListParagraph"/>
        <w:tabs>
          <w:tab w:val="clear" w:pos="708"/>
          <w:tab w:val="left" w:pos="3060" w:leader="none"/>
        </w:tabs>
        <w:spacing w:lineRule="auto" w:line="240" w:before="0" w:after="0"/>
        <w:ind w:left="426" w:right="2"/>
        <w:contextualSpacing/>
        <w:jc w:val="both"/>
        <w:rPr>
          <w:rFonts w:ascii="Times New Roman" w:hAnsi="Times New Roman"/>
          <w:bCs/>
          <w:sz w:val="24"/>
        </w:rPr>
      </w:pPr>
      <w:r>
        <w:rPr>
          <w:rFonts w:ascii="Times New Roman" w:hAnsi="Times New Roman"/>
          <w:bCs/>
          <w:sz w:val="24"/>
        </w:rPr>
      </w:r>
    </w:p>
    <w:p>
      <w:pPr>
        <w:pStyle w:val="ListParagraph"/>
        <w:tabs>
          <w:tab w:val="clear" w:pos="708"/>
          <w:tab w:val="left" w:pos="3060" w:leader="none"/>
        </w:tabs>
        <w:spacing w:lineRule="auto" w:line="240" w:before="0" w:after="0"/>
        <w:ind w:left="426" w:right="2"/>
        <w:contextualSpacing/>
        <w:jc w:val="both"/>
        <w:rPr>
          <w:rFonts w:ascii="Times New Roman" w:hAnsi="Times New Roman"/>
          <w:b/>
          <w:bCs/>
          <w:sz w:val="24"/>
        </w:rPr>
      </w:pPr>
      <w:r>
        <w:rPr>
          <w:rFonts w:ascii="Times New Roman" w:hAnsi="Times New Roman"/>
          <w:b/>
          <w:bCs/>
          <w:sz w:val="24"/>
        </w:rPr>
      </w:r>
    </w:p>
    <w:p>
      <w:pPr>
        <w:pStyle w:val="ListParagraph"/>
        <w:numPr>
          <w:ilvl w:val="0"/>
          <w:numId w:val="13"/>
        </w:numPr>
        <w:tabs>
          <w:tab w:val="clear" w:pos="708"/>
          <w:tab w:val="left" w:pos="284"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Требования к оказанию услуг и (или) выполнению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8"/>
        <w:gridCol w:w="3072"/>
        <w:gridCol w:w="6144"/>
      </w:tblGrid>
      <w:tr>
        <w:trPr>
          <w:tblHeader w:val="true"/>
          <w:trHeight w:val="458" w:hRule="atLeast"/>
        </w:trPr>
        <w:tc>
          <w:tcPr>
            <w:tcW w:w="708"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2"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8"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2"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8"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tabs>
                <w:tab w:val="clear" w:pos="708"/>
                <w:tab w:val="left" w:pos="284" w:leader="none"/>
              </w:tabs>
              <w:spacing w:lineRule="auto" w:line="240" w:before="0" w:after="0"/>
              <w:ind w:left="0"/>
              <w:contextualSpacing w:val="false"/>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Требование </w:t>
            </w:r>
            <w:r>
              <w:rPr>
                <w:rFonts w:cs="Times New Roman" w:ascii="Times New Roman" w:hAnsi="Times New Roman"/>
                <w:sz w:val="24"/>
                <w:szCs w:val="24"/>
              </w:rPr>
              <w:t xml:space="preserve">к оказанию услуг и (или) выполнению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 </w:t>
            </w:r>
            <w:r>
              <w:rPr>
                <w:rFonts w:eastAsia="Times New Roman" w:cs="Times New Roman" w:ascii="Times New Roman" w:hAnsi="Times New Roman"/>
                <w:sz w:val="24"/>
                <w:szCs w:val="24"/>
                <w:lang w:eastAsia="ru-RU"/>
              </w:rPr>
              <w:t>по предмету предварительного отбора подрядных организаций «Оказание услуг и (или) выполнение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Выдача задания на проведение работ по сохранению объекта культурного наследия.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Осуществляются: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федеральным органом охраны объектов культурного наследия - в отношении отдельных объектов культурного наследия федерального значения, перечень которых утверждается Правительством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региональным органом охраны объектов культурного наследия - в отношении объектов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объектов культурного наследия регионального значения, выявленных объектов культурного наследия;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муниципальным органом охраны объектов культурного наследия - в отношении объектов культурного наследия местного (муниципального) значения.</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Задание на проведение работ по сохранению объекта культурного наследия.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Составляется с учетом мнения собственника или иного законного владельца объекта культурного наследия, включенного в реестр, выявленного объекта культурного наследия.</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Порядок подготовки и согласования проектной документации на работы по сохранению объекта культурного наследия.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Определяются Градостроительным кодексом Российской Федерации.</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Разработка проектной документации.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Лицо, разработавшее проектную документацию осуществляет научное руководство проведением этих работ и авторский надзор за их проведением.</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Общие требования к выполнению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Проектно-сметная документация разрабатывается в объёме, необходимом для проведения капитального ремонта общего имущества многоквартирного дома в соответствии со следующими нормами действующего законодательства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Градостроительный кодекс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Земельный кодекс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Жилищный кодекс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от 30.12.2009г. № 384-Ф3 «Технический регламент о безопасности зданий и сооружений»;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РФ от 27.12.2002г. №184-ФЗ «О техническом регулировании»;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РФ от 22.07.2008 №123-ФЗ «Технический регламент о требованиях пожарной безопасности»;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Федеральный закон РФ от 25.06.2002г. №73-ФЗ «Об объектах культурного наследия (памятниках истории и культуры) народов РФ» (в том числе в части требований к качеству работ и безопасности их проведения);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Постановление Правительства РФ № 87 от 06.02.2008 г. «О составе разделов проектной документации и требованиях к их содержанию»;</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31937-2011 «Здания и сооружения. Правила обследования и мониторинга технического состояния».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21.1101-2013 «Основные требования к проектной и рабочей документации»;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Р 55528-2013 «Состав и содержание научно-проектной документации по сохранению объектов культурного наследия. Памятники истории и культуры. Общие требования»;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15.13330.2012 «СНиП II-22-81  «Каменные и армокаменные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16.13330.2011 «СНиП II-23-81  «Стальные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17.13330.2001 «СНиП II-26-76 «Кровли».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20.13330.2011 «СНиП 2.01.07-85  «Нагрузки и воздействия»;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22.13330.2011 «СНиП 2.02.01-83  «Основания зданий и сооружений»;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24.13330.2011 «СНиП 2.02.03-85 «Свайные фундаменты»;</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28.13330.2012 «Защита строительных конструкций от коррозии»;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СП13330.2012 «СНиП 2.04.0185  «Внутренний водопровод и канализация зданий»;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32.13330.2012 «СНиП 2.04.03-85 «Канализация. Наружные сети и сооружения»;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50.13330.2012 «СНиП 23-02-2003 «Тепловая защита зданий»;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54.13330.2011 СНиП 31-01-2003 «Здания жилые многоквартирные»;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60.13330.2012 «СНиП 41-01-2003 «Отопление, вентиляция и кондиционирование воздуха»;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63.13330.2012 «СНиП 52-01-2003 «Бетонные и железобетонные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64.13330.2011 «СНиП II-25-80 «Деревянные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70.13330.2012 «СНиП 3.03.01-87 «Несущие и ограждающие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СП 131.13330.2012 «СНиП23-01-99  «Строительная климатология».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СРП-2007, часть 1 «Свод реставрационных правил о составе, порядке разработки, согласования и утверждения научно-проектной документации на выполнение производственных работ по сохранению объектов культурного объекта»;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ГОСТ, СНИП, СП и другая нормативно-техническая документация, действующая на территории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Принятые в проектно-сметной документации решения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Сметная стоимость работ по капитальному ремонту не должна превышать размера предельной стоимости услуг и (или) работ по капитальному ремонту общего имущества в МКД,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указанной в соответствующем действующем нормативно-правовом акте Ивановской области.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 Подрядной организацией должны быть получены все необходимые согласования и заключения экспертизы проектно-сметной документации, согласно ФЗ № 73, статьи 45.</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14"/>
        </w:numPr>
        <w:spacing w:lineRule="auto" w:line="240" w:before="0" w:after="0"/>
        <w:ind w:hanging="0" w:left="0"/>
        <w:contextualSpacing w:val="false"/>
        <w:jc w:val="center"/>
        <w:rPr>
          <w:rFonts w:ascii="Times New Roman" w:hAnsi="Times New Roman" w:cs="Times New Roman"/>
          <w:b/>
          <w:sz w:val="28"/>
          <w:szCs w:val="28"/>
        </w:rPr>
      </w:pPr>
      <w:r>
        <w:rPr>
          <w:rStyle w:val="Style15"/>
          <w:rFonts w:cs="Times New Roman" w:ascii="Times New Roman" w:hAnsi="Times New Roman"/>
          <w:b/>
          <w:sz w:val="28"/>
          <w:szCs w:val="28"/>
        </w:rPr>
        <w:t>Сведения о существенных условиях договора об оказании услуг и (или) выполнении работ</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Fonts w:cs="Times New Roman" w:ascii="Times New Roman" w:hAnsi="Times New Roman"/>
                <w:sz w:val="24"/>
                <w:szCs w:val="24"/>
              </w:rPr>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Style w:val="Style15"/>
                <w:rFonts w:eastAsia="Calibri" w:cs="Times New Roman" w:ascii="Times New Roman" w:hAnsi="Times New Roman"/>
                <w:i/>
                <w:kern w:val="0"/>
                <w:sz w:val="24"/>
                <w:szCs w:val="24"/>
                <w:u w:val="single"/>
                <w:lang w:val="ru-RU" w:eastAsia="en-US" w:bidi="ar-SA"/>
              </w:rPr>
              <w:t>оказание услуг и (или) выполнение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p>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Работы будут выполняться исполнителем в отношении объектов, указанных в ориентировочном адресном перечне, установленном постановлением Правительства Ивановской области от 30.04.2014</w:t>
            </w:r>
          </w:p>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 </w:t>
            </w:r>
            <w:r>
              <w:rPr>
                <w:rStyle w:val="Style15"/>
                <w:rFonts w:eastAsia="Calibri" w:cs="Times New Roman" w:ascii="Times New Roman" w:hAnsi="Times New Roman"/>
                <w:kern w:val="0"/>
                <w:sz w:val="24"/>
                <w:szCs w:val="24"/>
                <w:lang w:val="ru-RU" w:eastAsia="en-US" w:bidi="ar-SA"/>
              </w:rPr>
              <w:t>164-п, размещенном на сайте в информационно-коммуникационной сети «Интернет»</w:t>
            </w:r>
            <w:r>
              <w:rPr>
                <w:rFonts w:eastAsia="Calibri" w:cs="Times New Roman" w:ascii="Times New Roman" w:hAnsi="Times New Roman"/>
                <w:kern w:val="0"/>
                <w:sz w:val="28"/>
                <w:szCs w:val="28"/>
                <w:lang w:val="ru-RU" w:eastAsia="en-US" w:bidi="ar-SA"/>
              </w:rPr>
              <w:t xml:space="preserve"> </w:t>
            </w:r>
            <w:r>
              <w:rPr>
                <w:rFonts w:eastAsia="Calibri" w:cs="Times New Roman" w:ascii="Times New Roman" w:hAnsi="Times New Roman"/>
                <w:kern w:val="0"/>
                <w:sz w:val="24"/>
                <w:szCs w:val="24"/>
                <w:lang w:val="ru-RU" w:eastAsia="en-US" w:bidi="ar-SA"/>
              </w:rPr>
              <w:t xml:space="preserve">по </w:t>
            </w:r>
            <w:r>
              <w:rPr>
                <w:rFonts w:eastAsia="Calibri" w:cs="Times New Roman" w:ascii="Times New Roman" w:hAnsi="Times New Roman"/>
                <w:kern w:val="0"/>
                <w:sz w:val="24"/>
                <w:szCs w:val="24"/>
                <w:lang w:val="en-US" w:eastAsia="en-US" w:bidi="ar-SA"/>
              </w:rPr>
              <w:t>web</w:t>
            </w:r>
            <w:r>
              <w:rPr>
                <w:rFonts w:eastAsia="Calibri" w:cs="Times New Roman" w:ascii="Times New Roman" w:hAnsi="Times New Roman"/>
                <w:kern w:val="0"/>
                <w:sz w:val="24"/>
                <w:szCs w:val="24"/>
                <w:lang w:val="ru-RU" w:eastAsia="en-US" w:bidi="ar-SA"/>
              </w:rPr>
              <w:t xml:space="preserve">-адресу: </w:t>
            </w:r>
            <w:r>
              <w:rPr>
                <w:rStyle w:val="Style15"/>
                <w:rFonts w:eastAsia="Calibri" w:cs="Times New Roman" w:ascii="Times New Roman" w:hAnsi="Times New Roman"/>
                <w:kern w:val="0"/>
                <w:sz w:val="24"/>
                <w:szCs w:val="24"/>
                <w:lang w:val="ru-RU" w:eastAsia="en-US" w:bidi="ar-SA"/>
              </w:rPr>
              <w:t xml:space="preserve">http://www.kaprem37.ru/ в разделе </w:t>
            </w:r>
            <w:r>
              <w:rPr>
                <w:rFonts w:eastAsia="Calibri" w:cs="Times New Roman" w:ascii="Times New Roman" w:hAnsi="Times New Roman"/>
                <w:kern w:val="0"/>
                <w:sz w:val="24"/>
                <w:szCs w:val="24"/>
                <w:lang w:val="ru-RU" w:eastAsia="en-US" w:bidi="ar-SA"/>
              </w:rPr>
              <w:t>- «Региональная программа»</w:t>
            </w:r>
            <w:r>
              <w:rPr>
                <w:rStyle w:val="Style15"/>
                <w:rFonts w:eastAsia="Calibri" w:cs="Times New Roman" w:ascii="Times New Roman" w:hAnsi="Times New Roman"/>
                <w:kern w:val="0"/>
                <w:sz w:val="24"/>
                <w:szCs w:val="24"/>
                <w:lang w:val="ru-RU" w:eastAsia="en-US" w:bidi="ar-SA"/>
              </w:rPr>
              <w:t>.</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ListParagraph"/>
              <w:widowControl/>
              <w:tabs>
                <w:tab w:val="clear" w:pos="708"/>
                <w:tab w:val="left" w:pos="450" w:leader="none"/>
              </w:tabs>
              <w:suppressAutoHyphens w:val="true"/>
              <w:spacing w:lineRule="auto" w:line="240" w:before="0" w:after="0"/>
              <w:ind w:left="25"/>
              <w:contextualSpacing/>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1. Определяется по итогам проведения электронного аукциона.</w:t>
            </w:r>
          </w:p>
          <w:p>
            <w:pPr>
              <w:pStyle w:val="Normal"/>
              <w:widowControl/>
              <w:tabs>
                <w:tab w:val="clear" w:pos="708"/>
                <w:tab w:val="left" w:pos="450" w:leader="none"/>
              </w:tabs>
              <w:suppressAutoHyphens w:val="true"/>
              <w:spacing w:lineRule="auto" w:line="240" w:before="0" w:after="0"/>
              <w:contextualSpacing/>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uppressAutoHyphens w:val="true"/>
              <w:spacing w:lineRule="auto" w:line="240" w:before="0" w:after="0"/>
              <w:ind w:left="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Normal"/>
              <w:widowControl/>
              <w:shd w:val="clear" w:color="auto" w:fill="FFFFFF" w:themeFill="background1"/>
              <w:suppressAutoHyphens w:val="true"/>
              <w:spacing w:lineRule="auto" w:line="240" w:before="0" w:after="0"/>
              <w:jc w:val="left"/>
              <w:rPr>
                <w:rStyle w:val="Style15"/>
                <w:rFonts w:ascii="Times New Roman" w:hAnsi="Times New Roman" w:eastAsia="Times New Roman" w:cs="Times New Roman"/>
                <w:color w:val="000000"/>
                <w:sz w:val="24"/>
                <w:szCs w:val="24"/>
                <w:lang w:eastAsia="ru-RU"/>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услуг и (или)  работ</w:t>
            </w:r>
          </w:p>
        </w:tc>
        <w:tc>
          <w:tcPr>
            <w:tcW w:w="7371" w:type="dxa"/>
            <w:tcBorders/>
          </w:tcPr>
          <w:p>
            <w:pPr>
              <w:pStyle w:val="Normal"/>
              <w:widowControl/>
              <w:shd w:val="clear" w:color="auto" w:fill="FFFFFF" w:themeFill="background1"/>
              <w:suppressAutoHyphens w:val="true"/>
              <w:spacing w:lineRule="auto" w:line="240" w:before="0" w:after="0"/>
              <w:jc w:val="both"/>
              <w:rPr>
                <w:rStyle w:val="Style15"/>
                <w:rFonts w:ascii="Times New Roman" w:hAnsi="Times New Roman" w:eastAsia="Times New Roman" w:cs="Times New Roman"/>
                <w:sz w:val="22"/>
                <w:szCs w:val="22"/>
                <w:lang w:eastAsia="ru-RU"/>
              </w:rPr>
            </w:pPr>
            <w:r>
              <w:rPr>
                <w:rFonts w:eastAsia="Times New Roman" w:cs="Times New Roman" w:ascii="Times New Roman" w:hAnsi="Times New Roman"/>
                <w:kern w:val="0"/>
                <w:sz w:val="24"/>
                <w:szCs w:val="24"/>
                <w:lang w:val="ru-RU" w:eastAsia="ru-RU" w:bidi="ar-SA"/>
              </w:rPr>
              <w:t xml:space="preserve">Порядок и сроки оплаты работ по договору устанавливаются Заказчиком в документации о проведении электронного аукциона. При любом установленном договором порядке окончательная оплата услуг и (или) работ по договору производится за фактически выполненные услуги и (или) работы на основании утверждённого комиссией, созданной в порядке п. 5 ч. 2 ст. 182 ЖК РФ, </w:t>
            </w:r>
            <w:r>
              <w:rPr>
                <w:rFonts w:eastAsia="Calibri" w:cs="Times New Roman" w:ascii="Times New Roman" w:hAnsi="Times New Roman"/>
                <w:kern w:val="0"/>
                <w:sz w:val="24"/>
                <w:szCs w:val="24"/>
                <w:lang w:val="ru-RU" w:eastAsia="ru-RU" w:bidi="ar-SA"/>
              </w:rPr>
              <w:t>и согласованного в порядке, предусмотренном ч. 2 ст. 190 ЖК РФ, акта о приёмке оказанных услуг и (или) выполненных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выполнения услуг и (или)  работ</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приемки оказанных услуг и (или) выполненных работ</w:t>
            </w:r>
          </w:p>
        </w:tc>
        <w:tc>
          <w:tcPr>
            <w:tcW w:w="7371" w:type="dxa"/>
            <w:tcBorders/>
          </w:tcPr>
          <w:p>
            <w:pPr>
              <w:pStyle w:val="ConsPlusNormal1"/>
              <w:suppressAutoHyphens w:val="true"/>
              <w:spacing w:before="0" w:after="0"/>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Порядок и сроки оказанных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оказания услуг и (или) выполнения работ</w:t>
            </w:r>
          </w:p>
        </w:tc>
        <w:tc>
          <w:tcPr>
            <w:tcW w:w="7371" w:type="dxa"/>
            <w:tcBorders/>
            <w:vAlign w:val="center"/>
          </w:tcPr>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и (или)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u w:val="single"/>
                <w:lang w:val="ru-RU" w:bidi="ar-SA"/>
              </w:rPr>
              <w:t xml:space="preserve"> </w:t>
            </w:r>
            <w:r>
              <w:rPr>
                <w:rStyle w:val="Style15"/>
                <w:rFonts w:cs="Times New Roman" w:ascii="Times New Roman" w:hAnsi="Times New Roman"/>
                <w:i/>
                <w:kern w:val="0"/>
                <w:sz w:val="24"/>
                <w:szCs w:val="24"/>
                <w:u w:val="single"/>
                <w:lang w:val="ru-RU" w:bidi="ar-SA"/>
              </w:rPr>
              <w:t>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Normal"/>
              <w:widowControl w:val="false"/>
              <w:suppressAutoHyphens w:val="tru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б) обеспечительным платежом.</w:t>
            </w:r>
          </w:p>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ConsPlusNormal1"/>
              <w:tabs>
                <w:tab w:val="clear" w:pos="708"/>
                <w:tab w:val="left" w:pos="541" w:leader="none"/>
              </w:tabs>
              <w:suppressAutoHyphens w:val="true"/>
              <w:spacing w:before="0" w:after="0"/>
              <w:jc w:val="both"/>
              <w:rPr>
                <w:rFonts w:ascii="Times New Roman" w:hAnsi="Times New Roman" w:eastAsia="Calibri" w:cs="Times New Roman"/>
                <w:sz w:val="24"/>
                <w:szCs w:val="24"/>
                <w:lang w:eastAsia="en-US"/>
              </w:rPr>
            </w:pPr>
            <w:r>
              <w:rPr>
                <w:rFonts w:eastAsia="Calibri" w:cs="Times New Roman" w:ascii="Times New Roman" w:hAnsi="Times New Roman"/>
                <w:kern w:val="0"/>
                <w:sz w:val="24"/>
                <w:szCs w:val="24"/>
                <w:lang w:val="ru-RU" w:eastAsia="en-US"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б) 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ConsPlusNormal1"/>
              <w:tabs>
                <w:tab w:val="clear" w:pos="708"/>
                <w:tab w:val="left" w:pos="601" w:leader="none"/>
              </w:tabs>
              <w:suppressAutoHyphens w:val="true"/>
              <w:spacing w:before="0" w:after="0"/>
              <w:jc w:val="both"/>
              <w:rPr>
                <w:rFonts w:ascii="Times New Roman" w:hAnsi="Times New Roman" w:eastAsia="Calibri" w:cs="Times New Roman"/>
                <w:sz w:val="24"/>
                <w:szCs w:val="24"/>
                <w:lang w:eastAsia="en-US"/>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ConsPlusNormal1"/>
              <w:tabs>
                <w:tab w:val="clear" w:pos="708"/>
                <w:tab w:val="left" w:pos="601" w:leader="none"/>
              </w:tabs>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 xml:space="preserve">7. В </w:t>
            </w:r>
            <w:r>
              <w:rPr>
                <w:rFonts w:cs="Times New Roman" w:ascii="Times New Roman" w:hAnsi="Times New Roman"/>
                <w:kern w:val="0"/>
                <w:sz w:val="24"/>
                <w:szCs w:val="24"/>
                <w:lang w:val="ru-RU" w:bidi="ar-SA"/>
              </w:rPr>
              <w:t>документации о проведении электронного аукциона</w:t>
            </w:r>
            <w:r>
              <w:rPr>
                <w:rStyle w:val="Style15"/>
                <w:rFonts w:cs="Times New Roman" w:ascii="Times New Roman" w:hAnsi="Times New Roman"/>
                <w:kern w:val="0"/>
                <w:sz w:val="24"/>
                <w:szCs w:val="24"/>
                <w:lang w:val="ru-RU"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uppressAutoHyphens w:val="true"/>
              <w:spacing w:before="0" w:after="0"/>
              <w:ind w:left="41"/>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uppressAutoHyphens w:val="true"/>
              <w:spacing w:before="0" w:after="0"/>
              <w:ind w:left="41"/>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trPr>
          <w:trHeight w:val="1137" w:hRule="atLeast"/>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подрядчика</w:t>
            </w:r>
          </w:p>
        </w:tc>
        <w:tc>
          <w:tcPr>
            <w:tcW w:w="7371" w:type="dxa"/>
            <w:tcBorders/>
          </w:tcPr>
          <w:p>
            <w:pPr>
              <w:pStyle w:val="ConsPlusNormal1"/>
              <w:tabs>
                <w:tab w:val="clear" w:pos="708"/>
                <w:tab w:val="left" w:pos="600"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выполнение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uppressAutoHyphens w:val="true"/>
              <w:spacing w:before="0" w:after="0"/>
              <w:ind w:left="33"/>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426" w:leader="none"/>
        </w:tabs>
        <w:spacing w:lineRule="auto" w:line="240" w:before="0" w:after="0"/>
        <w:contextualSpacing/>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2">
        <w:r>
          <w:rPr>
            <w:rStyle w:val="Hyperlink"/>
            <w:rFonts w:cs="Times New Roman" w:ascii="Arial" w:hAnsi="Arial"/>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7"/>
        </w:numPr>
        <w:tabs>
          <w:tab w:val="clear" w:pos="708"/>
          <w:tab w:val="left" w:pos="284" w:leader="none"/>
        </w:tabs>
        <w:spacing w:lineRule="auto" w:line="240" w:before="0" w:after="0"/>
        <w:contextualSpacing w:val="false"/>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При проведении предварительного отбора по предмету последующего электронного аукциона - </w:t>
      </w:r>
      <w:r>
        <w:rPr>
          <w:rFonts w:cs="Times New Roman" w:ascii="Times New Roman" w:hAnsi="Times New Roman"/>
          <w:i/>
          <w:sz w:val="28"/>
          <w:szCs w:val="28"/>
        </w:rPr>
        <w:t>оказание услуг и (или) выполнение работ по оценке технического состояния, разработке проектной документации на проведение капитального ремонта общего имущества многоквартирных домов, являющихся объектами культурного наследия, в случае, предусмотренном пунктом 4 статьи 56.1 Федерального закона «Об объектах культурного наследия (памятниках истории и культуры) народов Российской Федерации»</w:t>
      </w:r>
      <w:r>
        <w:rPr>
          <w:rFonts w:cs="Times New Roman" w:ascii="Times New Roman" w:hAnsi="Times New Roman"/>
          <w:sz w:val="28"/>
          <w:szCs w:val="28"/>
        </w:rPr>
        <w:t xml:space="preserve">, устанавливаются следующие требования к его участникам (далее – Участник):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членство Участника в саморегулируемой организации в области архитектурно-строительного проектирования, 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наличие у Участника лицензии на осуществление деятельности по сохранению объектов культурного наследия (памятников истории и культуры) народов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ж)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л)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eastAsia="Calibri" w:cs="Times New Roman"/>
          <w:sz w:val="28"/>
          <w:szCs w:val="28"/>
        </w:rPr>
      </w:pPr>
      <w:r>
        <w:rPr>
          <w:rFonts w:cs="Times New Roman" w:ascii="Times New Roman" w:hAnsi="Times New Roman"/>
          <w:sz w:val="28"/>
          <w:szCs w:val="28"/>
        </w:rPr>
        <w:t xml:space="preserve">м) </w:t>
      </w:r>
      <w:r>
        <w:rPr>
          <w:rFonts w:eastAsia="Calibri" w:cs="Times New Roman" w:ascii="Times New Roman" w:hAnsi="Times New Roman"/>
          <w:sz w:val="28"/>
          <w:szCs w:val="28"/>
        </w:rPr>
        <w:t>наличие у Участника предварительного отбора в штате минимального количества квалифицированного персонала:</w:t>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6"/>
        <w:gridCol w:w="2127"/>
        <w:gridCol w:w="1841"/>
        <w:gridCol w:w="2408"/>
        <w:gridCol w:w="1558"/>
      </w:tblGrid>
      <w:tr>
        <w:trPr>
          <w:trHeight w:val="906"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 xml:space="preserve">№ </w:t>
            </w:r>
            <w:r>
              <w:rPr>
                <w:rFonts w:eastAsia="Calibri" w:cs="Times New Roman" w:ascii="Times New Roman" w:hAnsi="Times New Roman"/>
                <w:b/>
                <w:sz w:val="20"/>
                <w:szCs w:val="20"/>
              </w:rPr>
              <w:t>п/п</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cs="Times New Roman"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Количество человек, не менее</w:t>
            </w:r>
          </w:p>
        </w:tc>
      </w:tr>
      <w:tr>
        <w:trPr>
          <w:trHeight w:val="1606"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r>
      <w:tr>
        <w:trPr>
          <w:trHeight w:val="211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по основному месту работы</w:t>
            </w:r>
          </w:p>
        </w:tc>
      </w:tr>
    </w:tbl>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i/>
          <w:sz w:val="18"/>
          <w:szCs w:val="18"/>
          <w:lang w:eastAsia="ru-RU"/>
        </w:rPr>
        <w:t>**</w:t>
      </w:r>
      <w:r>
        <w:rPr>
          <w:rFonts w:eastAsia="Times New Roman" w:cs="Times New Roman" w:ascii="Times New Roman" w:hAnsi="Times New Roman"/>
          <w:sz w:val="18"/>
          <w:szCs w:val="18"/>
          <w:lang w:eastAsia="ru-RU"/>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sz w:val="18"/>
          <w:szCs w:val="18"/>
          <w:lang w:eastAsia="ru-RU"/>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eastAsia="Calibri" w:cs="Times New Roman"/>
          <w:color w:themeColor="text1" w:val="000000"/>
          <w:sz w:val="28"/>
          <w:szCs w:val="28"/>
        </w:rPr>
      </w:pPr>
      <w:r>
        <w:rPr>
          <w:rFonts w:eastAsia="Calibri" w:cs="Times New Roman" w:ascii="Times New Roman" w:hAnsi="Times New Roman"/>
          <w:color w:themeColor="text1" w:val="000000"/>
          <w:sz w:val="28"/>
          <w:szCs w:val="28"/>
        </w:rPr>
      </w:r>
    </w:p>
    <w:p>
      <w:pPr>
        <w:pStyle w:val="Normal"/>
        <w:spacing w:lineRule="auto" w:line="240" w:before="0" w:after="0"/>
        <w:ind w:firstLine="540"/>
        <w:jc w:val="both"/>
        <w:rPr>
          <w:rFonts w:ascii="Times New Roman" w:hAnsi="Times New Roman" w:eastAsia="Calibri" w:cs="Times New Roman"/>
          <w:sz w:val="28"/>
          <w:szCs w:val="28"/>
        </w:rPr>
      </w:pPr>
      <w:r>
        <w:rPr>
          <w:rFonts w:eastAsia="Calibri" w:cs="Times New Roman" w:ascii="Times New Roman" w:hAnsi="Times New Roman"/>
          <w:sz w:val="28"/>
          <w:szCs w:val="28"/>
        </w:rPr>
        <w:t>н)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являлась разработка проектной документации, в том числе по договорам, заключенным в соответствии с Положением.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pPr>
        <w:pStyle w:val="Normal"/>
        <w:spacing w:lineRule="auto" w:line="240" w:before="0" w:after="0"/>
        <w:ind w:firstLine="540"/>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25 000 000 (двадцать пять миллионов) рублей (первый уровень ответственности);</w:t>
      </w:r>
    </w:p>
    <w:p>
      <w:pPr>
        <w:pStyle w:val="Normal"/>
        <w:spacing w:lineRule="auto" w:line="240" w:before="0" w:after="0"/>
        <w:ind w:firstLine="540"/>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25 000 000 (двадцати пяти миллионов) рублей, но не превышает 50 000 000 (пятьдесят миллионов) рублей (второй уровень ответственности);</w:t>
      </w:r>
    </w:p>
    <w:p>
      <w:pPr>
        <w:pStyle w:val="Normal"/>
        <w:spacing w:lineRule="auto" w:line="240" w:before="0" w:after="0"/>
        <w:ind w:firstLine="540"/>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300 000 000 (трехсот миллионов) рублей (третий и четвертый уровень ответственности);</w:t>
      </w:r>
    </w:p>
    <w:p>
      <w:pPr>
        <w:pStyle w:val="Normal"/>
        <w:spacing w:lineRule="auto" w:line="240" w:before="0" w:after="0"/>
        <w:ind w:firstLine="540"/>
        <w:jc w:val="both"/>
        <w:rPr>
          <w:rFonts w:ascii="Times New Roman" w:hAnsi="Times New Roman" w:eastAsia="Calibri" w:cs="Times New Roman"/>
          <w:sz w:val="28"/>
          <w:szCs w:val="28"/>
        </w:rPr>
      </w:pPr>
      <w:r>
        <w:rPr>
          <w:rFonts w:eastAsia="Calibri" w:cs="Times New Roman" w:ascii="Times New Roman" w:hAnsi="Times New Roman"/>
          <w:sz w:val="28"/>
          <w:szCs w:val="28"/>
        </w:rPr>
        <w:t>о)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w:t>
      </w:r>
    </w:p>
    <w:p>
      <w:pPr>
        <w:pStyle w:val="Normal"/>
        <w:spacing w:lineRule="auto" w:line="240" w:before="0" w:after="0"/>
        <w:ind w:firstLine="54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240"/>
        <w:ind w:firstLine="709"/>
        <w:jc w:val="center"/>
        <w:rPr>
          <w:rFonts w:ascii="Times New Roman" w:hAnsi="Times New Roman" w:eastAsia="Calibri" w:cs="Times New Roman"/>
          <w:sz w:val="28"/>
          <w:szCs w:val="28"/>
        </w:rPr>
      </w:pPr>
      <w:r>
        <w:rPr>
          <w:rFonts w:eastAsia="Calibri"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подписать Заявку усиленной неквалифицированной электронной подписью.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б) 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 выписка из реестра лицензий на осуществление деятельности по сохранению объектов культурного наследия (памятников истории и культуры) народов Российской Федерации, предоставленная в форме электронного документа, подписанного усиленной квалифицированной электронной подписью лицензирующего органа либо в случае ведения указанного реестра лицензий в информационной системе, оператором которой является федеральный орган исполнительной власти, электронной подписью указанной информационной системы;</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Style w:val="Style15"/>
          <w:rFonts w:cs="Times New Roman" w:ascii="Times New Roman" w:hAnsi="Times New Roman"/>
          <w:sz w:val="28"/>
          <w:szCs w:val="28"/>
        </w:rPr>
        <w:t xml:space="preserve">з) </w:t>
      </w:r>
      <w:r>
        <w:rPr>
          <w:rFonts w:eastAsia="Calibri" w:cs="Times New Roman" w:ascii="Times New Roman" w:hAnsi="Times New Roman"/>
          <w:sz w:val="28"/>
          <w:szCs w:val="28"/>
        </w:rPr>
        <w:t>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Style w:val="Style15"/>
          <w:rFonts w:cs="Times New Roman" w:ascii="Times New Roman" w:hAnsi="Times New Roman"/>
          <w:sz w:val="28"/>
          <w:szCs w:val="28"/>
        </w:rPr>
        <w:t xml:space="preserve">и) </w:t>
      </w:r>
      <w:r>
        <w:rPr>
          <w:rFonts w:eastAsia="Calibri" w:cs="Times New Roman" w:ascii="Times New Roman" w:hAnsi="Times New Roman"/>
          <w:sz w:val="28"/>
          <w:szCs w:val="28"/>
        </w:rPr>
        <w:t>копия штатного расписания;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к) штатно-списочный состав сотрудников, подготовленный по форме приложения № 2 к Документации о проведении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л)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и аттестатов, подтверждающих наличие у участника предварительного отбора в штате минимального количества квалифицированного персонала, установленного пунктом «м» </w:t>
      </w:r>
      <w:r>
        <w:rPr>
          <w:rFonts w:cs="Times New Roman" w:ascii="Times New Roman" w:hAnsi="Times New Roman"/>
          <w:sz w:val="28"/>
          <w:szCs w:val="28"/>
        </w:rPr>
        <w:t>Требований к участникам предварительного отбора</w:t>
      </w:r>
      <w:r>
        <w:rPr>
          <w:rStyle w:val="Style15"/>
          <w:rFonts w:cs="Times New Roman" w:ascii="Times New Roman" w:hAnsi="Times New Roman"/>
          <w:sz w:val="28"/>
          <w:szCs w:val="28"/>
        </w:rPr>
        <w:t>;</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м) копии не менее 3 исполненных контрактов и (или) договоров, подтверждающих наличие у участника предварительного отбора, предусмотренного пунктом «н»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н)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Регистрация на электронной площадке, а также участие в предварительном отборе осуществляется без взимания платы с Участника.</w:t>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Участник в рамках извещения о проведении предварительного отбора </w:t>
      </w:r>
      <w:r>
        <w:rPr>
          <w:rFonts w:eastAsia="Times New Roman" w:cs="Times New Roman" w:ascii="Times New Roman" w:hAnsi="Times New Roman"/>
          <w:b/>
          <w:sz w:val="28"/>
          <w:szCs w:val="28"/>
          <w:lang w:eastAsia="ru-RU"/>
        </w:rPr>
        <w:t>№ ПО.д.26.</w:t>
      </w:r>
      <w:r>
        <w:rPr>
          <w:rFonts w:eastAsia="Times New Roman" w:cs="Times New Roman" w:ascii="Times New Roman" w:hAnsi="Times New Roman"/>
          <w:b/>
          <w:sz w:val="28"/>
          <w:szCs w:val="28"/>
          <w:lang w:eastAsia="ru-RU"/>
        </w:rPr>
        <w:t>3</w:t>
      </w:r>
      <w:r>
        <w:rPr>
          <w:rFonts w:eastAsia="Times New Roman" w:cs="Times New Roman" w:ascii="Times New Roman" w:hAnsi="Times New Roman"/>
          <w:b/>
          <w:sz w:val="28"/>
          <w:szCs w:val="28"/>
          <w:lang w:eastAsia="ru-RU"/>
        </w:rPr>
        <w:t xml:space="preserve"> от 2</w:t>
      </w:r>
      <w:r>
        <w:rPr>
          <w:rFonts w:eastAsia="Times New Roman" w:cs="Times New Roman" w:ascii="Times New Roman" w:hAnsi="Times New Roman"/>
          <w:b/>
          <w:sz w:val="28"/>
          <w:szCs w:val="28"/>
          <w:lang w:eastAsia="ru-RU"/>
        </w:rPr>
        <w:t>5</w:t>
      </w:r>
      <w:r>
        <w:rPr>
          <w:rFonts w:eastAsia="Times New Roman" w:cs="Times New Roman" w:ascii="Times New Roman" w:hAnsi="Times New Roman"/>
          <w:b/>
          <w:sz w:val="28"/>
          <w:szCs w:val="28"/>
          <w:lang w:eastAsia="ru-RU"/>
        </w:rPr>
        <w:t>.0</w:t>
      </w:r>
      <w:r>
        <w:rPr>
          <w:rFonts w:eastAsia="Times New Roman" w:cs="Times New Roman" w:ascii="Times New Roman" w:hAnsi="Times New Roman"/>
          <w:b/>
          <w:sz w:val="28"/>
          <w:szCs w:val="28"/>
          <w:lang w:eastAsia="ru-RU"/>
        </w:rPr>
        <w:t>8</w:t>
      </w:r>
      <w:r>
        <w:rPr>
          <w:rFonts w:eastAsia="Times New Roman" w:cs="Times New Roman" w:ascii="Times New Roman" w:hAnsi="Times New Roman"/>
          <w:b/>
          <w:sz w:val="28"/>
          <w:szCs w:val="28"/>
          <w:lang w:eastAsia="ru-RU"/>
        </w:rPr>
        <w:t>.2026</w:t>
      </w:r>
      <w:r>
        <w:rPr>
          <w:rFonts w:eastAsia="Times New Roman" w:cs="Times New Roman" w:ascii="Times New Roman" w:hAnsi="Times New Roman"/>
          <w:sz w:val="28"/>
          <w:szCs w:val="28"/>
          <w:lang w:eastAsia="ru-RU"/>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Участник, подавший Заявку, вправе ее изменить.</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 </w:t>
      </w:r>
    </w:p>
    <w:p>
      <w:pPr>
        <w:pStyle w:val="Normal"/>
        <w:widowControl w:val="false"/>
        <w:numPr>
          <w:ilvl w:val="0"/>
          <w:numId w:val="3"/>
        </w:numPr>
        <w:tabs>
          <w:tab w:val="clear" w:pos="708"/>
          <w:tab w:val="left" w:pos="1276" w:leader="none"/>
        </w:tabs>
        <w:spacing w:lineRule="auto" w:line="240" w:before="0" w:after="0"/>
        <w:ind w:firstLine="851"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Заявка подается Участником не ранее даты, указанной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поданные ранее даты и времени, указанные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Каждая Заявка, поступившая в установленные сроки, регистрируется оператором электронной площадки, с присвоением порядкового номера.</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Запросы принимаются </w:t>
      </w:r>
      <w:r>
        <w:rPr>
          <w:rFonts w:eastAsia="Times New Roman" w:cs="Times New Roman" w:ascii="Times New Roman" w:hAnsi="Times New Roman"/>
          <w:b/>
          <w:sz w:val="28"/>
          <w:szCs w:val="28"/>
          <w:lang w:eastAsia="ru-RU"/>
        </w:rPr>
        <w:t xml:space="preserve">до </w:t>
      </w:r>
      <w:r>
        <w:rPr>
          <w:rFonts w:eastAsia="Times New Roman" w:cs="Times New Roman" w:ascii="Times New Roman" w:hAnsi="Times New Roman"/>
          <w:b/>
          <w:sz w:val="28"/>
          <w:szCs w:val="28"/>
          <w:lang w:eastAsia="ru-RU"/>
        </w:rPr>
        <w:t>7</w:t>
      </w:r>
      <w:r>
        <w:rPr>
          <w:rFonts w:eastAsia="Times New Roman" w:cs="Times New Roman" w:ascii="Times New Roman" w:hAnsi="Times New Roman"/>
          <w:b/>
          <w:sz w:val="28"/>
          <w:szCs w:val="28"/>
          <w:lang w:eastAsia="ru-RU"/>
        </w:rPr>
        <w:t xml:space="preserve"> </w:t>
      </w:r>
      <w:r>
        <w:rPr>
          <w:rFonts w:eastAsia="Times New Roman" w:cs="Times New Roman" w:ascii="Times New Roman" w:hAnsi="Times New Roman"/>
          <w:b/>
          <w:sz w:val="28"/>
          <w:szCs w:val="28"/>
          <w:lang w:eastAsia="ru-RU"/>
        </w:rPr>
        <w:t>сентября</w:t>
      </w:r>
      <w:r>
        <w:rPr>
          <w:rFonts w:eastAsia="Times New Roman" w:cs="Times New Roman" w:ascii="Times New Roman" w:hAnsi="Times New Roman"/>
          <w:b/>
          <w:sz w:val="28"/>
          <w:szCs w:val="28"/>
          <w:lang w:eastAsia="ru-RU"/>
        </w:rPr>
        <w:t xml:space="preserve"> 2026</w:t>
      </w:r>
      <w:bookmarkStart w:id="0" w:name="_GoBack"/>
      <w:bookmarkEnd w:id="0"/>
      <w:r>
        <w:rPr>
          <w:rFonts w:eastAsia="Times New Roman" w:cs="Times New Roman" w:ascii="Times New Roman" w:hAnsi="Times New Roman"/>
          <w:b/>
          <w:sz w:val="28"/>
          <w:szCs w:val="28"/>
          <w:lang w:eastAsia="ru-RU"/>
        </w:rPr>
        <w:t xml:space="preserve"> г. </w:t>
      </w:r>
      <w:r>
        <w:rPr>
          <w:rFonts w:eastAsia="Times New Roman" w:cs="Times New Roman" w:ascii="Times New Roman" w:hAnsi="Times New Roman"/>
          <w:sz w:val="28"/>
          <w:szCs w:val="28"/>
          <w:lang w:eastAsia="ru-RU"/>
        </w:rPr>
        <w:t xml:space="preserve">включительно.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Запрос должен быть подписан, усиленной неквалифицированной электронной подписью лица, направившего Запрос.</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firstLine="709"/>
        <w:jc w:val="center"/>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Порядок рассмотрения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Общие положения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Участие в предварительном отборе и заседаниях Комиссии осуществляется без взимания платы с Участника.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 xml:space="preserve">Порядок рассмотрения Заявок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 основании результатов рассмотрения Заявок Комиссия принимает одно из следующих решений:</w:t>
      </w:r>
    </w:p>
    <w:p>
      <w:pPr>
        <w:pStyle w:val="Normal"/>
        <w:widowControl w:val="false"/>
        <w:tabs>
          <w:tab w:val="clear" w:pos="708"/>
          <w:tab w:val="left" w:pos="1134" w:leader="none"/>
        </w:tabs>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включение Участника в реестр квалифицированных подрядных организаций;</w:t>
      </w:r>
    </w:p>
    <w:p>
      <w:pPr>
        <w:pStyle w:val="Normal"/>
        <w:widowControl w:val="false"/>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отказ во включении Участника в реестр квалифицированных подрядных организаций.</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несоответствие Участника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несоответствие Заявки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b/>
          <w:sz w:val="28"/>
          <w:szCs w:val="28"/>
          <w:lang w:eastAsia="ru-RU"/>
        </w:rPr>
        <w:t>Принятие решения о признании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Предварительный отбор признается Комиссией несостоявшимся в следующих случаях:</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б) </w:t>
      </w:r>
      <w:r>
        <w:rPr>
          <w:rFonts w:cs="Times New Roman" w:ascii="Times New Roman" w:hAnsi="Times New Roman"/>
          <w:sz w:val="28"/>
          <w:szCs w:val="28"/>
        </w:rPr>
        <w:t>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r>
        <w:rPr>
          <w:rFonts w:eastAsia="Times New Roman" w:cs="Times New Roman" w:ascii="Times New Roman" w:hAnsi="Times New Roman"/>
          <w:sz w:val="28"/>
          <w:szCs w:val="28"/>
          <w:lang w:eastAsia="ru-RU"/>
        </w:rPr>
        <w:t>, подавших Заявки до указанных в Извещении даты и времени окончания срока подачи Заявок.</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Протокол заседания Комиссии</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Приложение № 1</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 xml:space="preserve">ПО ИЗВЕЩЕНИЮ № </w:t>
      </w:r>
      <w:r>
        <w:rPr>
          <w:rFonts w:cs="Times New Roman" w:ascii="Times New Roman" w:hAnsi="Times New Roman"/>
          <w:sz w:val="24"/>
          <w:szCs w:val="24"/>
        </w:rPr>
        <w:t xml:space="preserve">___ </w:t>
      </w:r>
      <w:r>
        <w:rPr>
          <w:rFonts w:cs="Times New Roman" w:ascii="Times New Roman" w:hAnsi="Times New Roman"/>
          <w:b/>
          <w:sz w:val="24"/>
          <w:szCs w:val="24"/>
        </w:rPr>
        <w:t xml:space="preserve">ОТ </w:t>
      </w:r>
      <w:r>
        <w:rPr>
          <w:rFonts w:cs="Times New Roman" w:ascii="Times New Roman" w:hAnsi="Times New Roman"/>
          <w:sz w:val="24"/>
          <w:szCs w:val="24"/>
        </w:rPr>
        <w:t>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 </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120" w:after="0"/>
        <w:ind w:firstLine="709"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fals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 xml:space="preserve">(указывается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 </w:t>
      </w:r>
      <w:r>
        <w:rPr>
          <w:rFonts w:eastAsia="Times New Roman" w:cs="Times New Roman" w:ascii="Times New Roman" w:hAnsi="Times New Roman"/>
          <w:bCs/>
          <w:sz w:val="24"/>
          <w:szCs w:val="24"/>
          <w:u w:val="single"/>
          <w:lang w:eastAsia="ru-RU"/>
        </w:rPr>
        <w:t xml:space="preserve">       .</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8"/>
        <w:gridCol w:w="2157"/>
        <w:gridCol w:w="1700"/>
        <w:gridCol w:w="1418"/>
        <w:gridCol w:w="1731"/>
        <w:gridCol w:w="2521"/>
      </w:tblGrid>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«м»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(трудовых книжках, дипломах, трудовых договорах);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8"/>
          <w:szCs w:val="28"/>
        </w:rPr>
      </w:pPr>
      <w:r>
        <w:rPr>
          <w:rFonts w:eastAsia="Times New Roman" w:cs="Times New Roman" w:ascii="Times New Roman" w:hAnsi="Times New Roman"/>
          <w:spacing w:val="-1"/>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sectPr>
      <w:type w:val="nextPage"/>
      <w:pgSz w:w="11906" w:h="16838"/>
      <w:pgMar w:left="1701"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1851" w:hanging="360"/>
      </w:pPr>
      <w:rPr/>
    </w:lvl>
    <w:lvl w:ilvl="1">
      <w:start w:val="1"/>
      <w:numFmt w:val="lowerLetter"/>
      <w:lvlText w:val="%2."/>
      <w:lvlJc w:val="left"/>
      <w:pPr>
        <w:tabs>
          <w:tab w:val="num" w:pos="0"/>
        </w:tabs>
        <w:ind w:left="2571" w:hanging="360"/>
      </w:pPr>
      <w:rPr/>
    </w:lvl>
    <w:lvl w:ilvl="2">
      <w:start w:val="1"/>
      <w:numFmt w:val="lowerRoman"/>
      <w:lvlText w:val="%3."/>
      <w:lvlJc w:val="right"/>
      <w:pPr>
        <w:tabs>
          <w:tab w:val="num" w:pos="0"/>
        </w:tabs>
        <w:ind w:left="3291" w:hanging="180"/>
      </w:pPr>
      <w:rPr/>
    </w:lvl>
    <w:lvl w:ilvl="3">
      <w:start w:val="1"/>
      <w:numFmt w:val="decimal"/>
      <w:lvlText w:val="%4."/>
      <w:lvlJc w:val="left"/>
      <w:pPr>
        <w:tabs>
          <w:tab w:val="num" w:pos="0"/>
        </w:tabs>
        <w:ind w:left="4011" w:hanging="360"/>
      </w:pPr>
      <w:rPr/>
    </w:lvl>
    <w:lvl w:ilvl="4">
      <w:start w:val="1"/>
      <w:numFmt w:val="lowerLetter"/>
      <w:lvlText w:val="%5."/>
      <w:lvlJc w:val="left"/>
      <w:pPr>
        <w:tabs>
          <w:tab w:val="num" w:pos="0"/>
        </w:tabs>
        <w:ind w:left="4731" w:hanging="360"/>
      </w:pPr>
      <w:rPr/>
    </w:lvl>
    <w:lvl w:ilvl="5">
      <w:start w:val="1"/>
      <w:numFmt w:val="lowerRoman"/>
      <w:lvlText w:val="%6."/>
      <w:lvlJc w:val="right"/>
      <w:pPr>
        <w:tabs>
          <w:tab w:val="num" w:pos="0"/>
        </w:tabs>
        <w:ind w:left="5451" w:hanging="180"/>
      </w:pPr>
      <w:rPr/>
    </w:lvl>
    <w:lvl w:ilvl="6">
      <w:start w:val="1"/>
      <w:numFmt w:val="decimal"/>
      <w:lvlText w:val="%7."/>
      <w:lvlJc w:val="left"/>
      <w:pPr>
        <w:tabs>
          <w:tab w:val="num" w:pos="0"/>
        </w:tabs>
        <w:ind w:left="6171" w:hanging="360"/>
      </w:pPr>
      <w:rPr/>
    </w:lvl>
    <w:lvl w:ilvl="7">
      <w:start w:val="1"/>
      <w:numFmt w:val="lowerLetter"/>
      <w:lvlText w:val="%8."/>
      <w:lvlJc w:val="left"/>
      <w:pPr>
        <w:tabs>
          <w:tab w:val="num" w:pos="0"/>
        </w:tabs>
        <w:ind w:left="6891" w:hanging="360"/>
      </w:pPr>
      <w:rPr/>
    </w:lvl>
    <w:lvl w:ilvl="8">
      <w:start w:val="1"/>
      <w:numFmt w:val="lowerRoman"/>
      <w:lvlText w:val="%9."/>
      <w:lvlJc w:val="right"/>
      <w:pPr>
        <w:tabs>
          <w:tab w:val="num" w:pos="0"/>
        </w:tabs>
        <w:ind w:left="7611"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6">
    <w:lvl w:ilvl="0">
      <w:start w:val="1"/>
      <w:numFmt w:val="decimal"/>
      <w:lvlText w:val="%1."/>
      <w:lvlJc w:val="left"/>
      <w:pPr>
        <w:tabs>
          <w:tab w:val="num" w:pos="0"/>
        </w:tabs>
        <w:ind w:left="3192" w:hanging="360"/>
      </w:pPr>
      <w:rPr>
        <w:b/>
      </w:rPr>
    </w:lvl>
    <w:lvl w:ilvl="1">
      <w:start w:val="1"/>
      <w:numFmt w:val="decimal"/>
      <w:lvlText w:val="%1.%2."/>
      <w:lvlJc w:val="left"/>
      <w:pPr>
        <w:tabs>
          <w:tab w:val="num" w:pos="0"/>
        </w:tabs>
        <w:ind w:left="1850"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7">
    <w:lvl w:ilvl="0">
      <w:start w:val="4"/>
      <w:numFmt w:val="upperRoman"/>
      <w:lvlText w:val="%1."/>
      <w:lvlJc w:val="left"/>
      <w:pPr>
        <w:tabs>
          <w:tab w:val="num" w:pos="0"/>
        </w:tabs>
        <w:ind w:left="1080" w:hanging="72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8"/>
    <w:lvlOverride w:ilvl="0">
      <w:startOverride w:val="1"/>
    </w:lvlOverride>
  </w:num>
  <w:num w:numId="13">
    <w:abstractNumId w:val="8"/>
  </w:num>
  <w:num w:numId="14">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4"/>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1c2a6b"/>
    <w:rPr/>
  </w:style>
  <w:style w:type="character" w:styleId="ConsPlusNormal" w:customStyle="1">
    <w:name w:val="ConsPlusNormal Знак"/>
    <w:basedOn w:val="DefaultParagraphFont"/>
    <w:link w:val="ConsPlusNormal1"/>
    <w:qFormat/>
    <w:locked/>
    <w:rsid w:val="001c2a6b"/>
    <w:rPr>
      <w:rFonts w:ascii="Arial" w:hAnsi="Arial" w:eastAsia="" w:cs="Arial" w:eastAsiaTheme="minorEastAsia"/>
      <w:sz w:val="20"/>
      <w:szCs w:val="20"/>
      <w:lang w:eastAsia="ru-RU"/>
    </w:rPr>
  </w:style>
  <w:style w:type="character" w:styleId="InternetLink1">
    <w:name w:val="Internet Link1"/>
    <w:qFormat/>
    <w:rPr>
      <w:color w:val="000080"/>
      <w:u w:val="single"/>
    </w:rPr>
  </w:style>
  <w:style w:type="character" w:styleId="Hyperlink">
    <w:name w:val="Hyperlink"/>
    <w:rPr>
      <w:color w:val="000080"/>
      <w:u w:val="single"/>
    </w:rPr>
  </w:style>
  <w:style w:type="paragraph" w:styleId="Style2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4"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5"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kaprem37.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2C22E-E4EC-4ACC-811E-60030BF47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Application>LibreOffice/24.2.4.2$Windows_X86_64 LibreOffice_project/51a6219feb6075d9a4c46691dcfe0cd9c4fff3c2</Application>
  <AppVersion>15.0000</AppVersion>
  <Pages>25</Pages>
  <Words>6187</Words>
  <Characters>45616</Characters>
  <CharactersWithSpaces>51600</CharactersWithSpaces>
  <Paragraphs>350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2017-11-30T17:37:00Z</dcterms:created>
  <dc:creator>Василий</dc:creator>
  <dc:description/>
  <dc:language>ru-RU</dc:language>
  <cp:lastModifiedBy/>
  <cp:lastPrinted>2018-08-06T11:58:00Z</cp:lastPrinted>
  <dcterms:modified xsi:type="dcterms:W3CDTF">2026-08-25T16:26:17Z</dcterms:modified>
  <cp:revision>77</cp:revision>
  <dc:subject/>
  <dc:title/>
</cp:coreProperties>
</file>

<file path=docProps/custom.xml><?xml version="1.0" encoding="utf-8"?>
<Properties xmlns="http://schemas.openxmlformats.org/officeDocument/2006/custom-properties" xmlns:vt="http://schemas.openxmlformats.org/officeDocument/2006/docPropsVTypes"/>
</file>